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南银理财珠联璧合鑫逸稳一年63期封闭式公募人民币理财产品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南银理财珠联璧合鑫逸稳一年63期封闭式公募人民币理财产品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Z7003222000036（投资者可依据该编码在中国理财网www.chinawealth.com.cn查询理财产品相关信息）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2022年06月08日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1,257,804,530.00份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鑫元基金管理有限公司、鹏华基金管理有限公司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Y30063</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121,446,058.79</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1.0270</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1.0270</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Y31063</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1,120,833,670.95</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1.0287</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1.0287</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Y32063</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51,468,721.74</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1.0293</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1.0293</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截至报告期末，本产品Y30063份额净值为1.0270元，Y31063份额净值为1.0287元，Y32063份额净值为1.0293元。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ZZGJT202005290001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鑫元基金-鑫安利得51号</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418,001,946.77</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32.31</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22088723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22西湖城建02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17.00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ZJQTT202103220001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鑫元基金-鑫安利得52号集合资产管理计划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180,366,000.15</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13.94</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22088799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22南京滨江05</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105,000,000.00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8.12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22088839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22宿迁运河港03</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7.73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22088818</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22伟驰控股05</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7.73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ZJQTT202103180001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鹏华基金南华1号集合资产管理计划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70,281,470.33</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5.43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22088819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22亭湖公投04</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5.41</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22088742</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22广湖建设01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0.39</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宿迁市运河港区开发集团有限公司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22宿迁运河港03</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90</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伟驰控股集团有限公司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22伟驰控股05</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89</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按季付息，到期还本</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盐城市亭湖区公有资产投资经营有限公司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22亭湖公投04</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88</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杭州西湖城市建设投资集团有限公司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22西湖城建02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83</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南京滨江投资发展有限公司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22南京滨江05</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85</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按季付息，到期还本</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江苏广湖建设有限公司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22广湖建设01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82</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0120010000000832</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南银理财鑫逸稳一年63期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260,425.14</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